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799" w:firstLineChars="221"/>
        <w:jc w:val="center"/>
        <w:rPr>
          <w:rFonts w:hint="default" w:ascii="宋体" w:hAnsi="宋体" w:eastAsia="宋体" w:cs="宋体"/>
          <w:b/>
          <w:szCs w:val="21"/>
          <w:lang w:val="en-US" w:eastAsia="zh-CN"/>
        </w:rPr>
      </w:pPr>
      <w:r>
        <w:rPr>
          <w:rFonts w:hint="eastAsia" w:ascii="宋体" w:hAnsi="宋体" w:cs="宋体"/>
          <w:b/>
          <w:sz w:val="36"/>
          <w:szCs w:val="36"/>
          <w:lang w:val="en-US" w:eastAsia="zh-CN"/>
        </w:rPr>
        <w:t>秩序专业项目概况及细则</w:t>
      </w:r>
    </w:p>
    <w:p>
      <w:pPr>
        <w:spacing w:line="420" w:lineRule="exact"/>
        <w:ind w:firstLine="466" w:firstLineChars="221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一、项目物业概况：</w:t>
      </w:r>
    </w:p>
    <w:p>
      <w:pPr>
        <w:spacing w:line="420" w:lineRule="exact"/>
        <w:ind w:firstLine="464" w:firstLineChars="221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研发大厦项目位于南宁市良庆区玉洞大道33号，西侧面向风景秀丽的五象湖公园，周边自然环境优美，邻近有公交和地铁站口，交通十分便利。</w:t>
      </w:r>
    </w:p>
    <w:p>
      <w:pPr>
        <w:spacing w:line="420" w:lineRule="exact"/>
        <w:ind w:firstLine="464" w:firstLineChars="221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1"/>
          <w:szCs w:val="21"/>
        </w:rPr>
        <w:t>本项目总占地面积64,905.78㎡，包括研发大厦和便民广场（即东广场）两大部分。其中研发大厦占地面积44,790㎡（其中建筑占地面积16,418㎡），建筑总面积171,606㎡（其中办公建筑面积116333.36㎡，商业建筑面积9696.70㎡），设置有机动车停车位1254个（其中地下1091个、地面163个）。东广场规划用地面积20,115.78㎡，主要有便民设施建筑、停车场、公共卫生间、景观绿地等，建筑总面积1392.84㎡（其中便民设施建筑面积898.36㎡，其余为连廊、公厕、设备间、凉亭等），设置有机动车停车位77个及非机动车停车位区域。</w:t>
      </w:r>
    </w:p>
    <w:p>
      <w:pPr>
        <w:spacing w:line="420" w:lineRule="exact"/>
        <w:ind w:firstLine="466" w:firstLineChars="221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二、物业服务管理规范及要求(简称“规范及要求”)：</w:t>
      </w:r>
    </w:p>
    <w:p>
      <w:pPr>
        <w:pStyle w:val="11"/>
        <w:spacing w:line="420" w:lineRule="exact"/>
        <w:ind w:firstLine="422"/>
        <w:rPr>
          <w:rFonts w:hint="eastAsia" w:hAnsi="宋体" w:cs="宋体"/>
          <w:b/>
          <w:szCs w:val="21"/>
        </w:rPr>
      </w:pPr>
      <w:bookmarkStart w:id="0" w:name="_Toc484184098"/>
      <w:bookmarkStart w:id="1" w:name="_Toc481590757"/>
      <w:bookmarkStart w:id="2" w:name="_Toc484506461"/>
      <w:bookmarkStart w:id="3" w:name="_Toc475459253"/>
      <w:r>
        <w:rPr>
          <w:rFonts w:hint="eastAsia" w:hAnsi="宋体" w:cs="宋体"/>
          <w:b/>
          <w:szCs w:val="21"/>
        </w:rPr>
        <w:t>（一）物业服务概况</w:t>
      </w:r>
    </w:p>
    <w:p>
      <w:pPr>
        <w:pStyle w:val="11"/>
        <w:spacing w:line="420" w:lineRule="exact"/>
        <w:ind w:firstLine="420"/>
        <w:rPr>
          <w:rFonts w:hint="eastAsia" w:hAnsi="宋体" w:cs="宋体"/>
          <w:szCs w:val="21"/>
        </w:rPr>
      </w:pPr>
      <w:r>
        <w:rPr>
          <w:rFonts w:hint="eastAsia" w:hAnsi="宋体" w:cs="宋体"/>
          <w:szCs w:val="21"/>
        </w:rPr>
        <w:t>1、服务机构按照物业服务合同约定，对</w:t>
      </w:r>
      <w:r>
        <w:rPr>
          <w:rFonts w:hint="eastAsia" w:ascii="宋体" w:hAnsi="宋体"/>
          <w:color w:val="000000"/>
          <w:sz w:val="21"/>
          <w:szCs w:val="21"/>
        </w:rPr>
        <w:t>南宁威凯智慧物业服务有限公司所管辖的</w:t>
      </w:r>
      <w:r>
        <w:rPr>
          <w:rFonts w:hint="eastAsia" w:hAnsi="宋体" w:cs="宋体"/>
          <w:szCs w:val="21"/>
        </w:rPr>
        <w:t>物业管理区域内的建筑物、构筑物及配套的设施设备和相关场地的</w:t>
      </w:r>
      <w:r>
        <w:rPr>
          <w:rFonts w:hint="eastAsia" w:hAnsi="宋体" w:cs="宋体"/>
          <w:szCs w:val="21"/>
          <w:lang w:eastAsia="zh-CN"/>
        </w:rPr>
        <w:t>秩序安防进行</w:t>
      </w:r>
      <w:r>
        <w:rPr>
          <w:rFonts w:hint="eastAsia" w:hAnsi="宋体" w:cs="宋体"/>
          <w:szCs w:val="21"/>
        </w:rPr>
        <w:t>维护。</w:t>
      </w:r>
    </w:p>
    <w:p>
      <w:pPr>
        <w:pStyle w:val="12"/>
        <w:spacing w:line="420" w:lineRule="exact"/>
        <w:ind w:left="0"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2、研发大厦项目物业服务内容包括公共秩序维护、</w:t>
      </w:r>
      <w:r>
        <w:rPr>
          <w:rFonts w:hint="eastAsia" w:hAnsi="宋体" w:cs="宋体"/>
          <w:lang w:eastAsia="zh-CN"/>
        </w:rPr>
        <w:t>设施设备安保</w:t>
      </w:r>
      <w:r>
        <w:rPr>
          <w:rFonts w:hint="eastAsia" w:hAnsi="宋体" w:cs="宋体"/>
        </w:rPr>
        <w:t>等</w:t>
      </w:r>
      <w:r>
        <w:rPr>
          <w:rFonts w:hint="eastAsia" w:hAnsi="宋体" w:cs="宋体"/>
          <w:lang w:eastAsia="zh-CN"/>
        </w:rPr>
        <w:t>相关服务</w:t>
      </w:r>
      <w:r>
        <w:rPr>
          <w:rFonts w:hint="eastAsia" w:hAnsi="宋体" w:cs="宋体"/>
        </w:rPr>
        <w:t>。通过物业服务分项，明确研发大厦项目物业服务的内容及要求，为服务工作的具体开展提供依据，规范物业服务行为，保护物业服务双方当事人的合法权益。</w:t>
      </w:r>
    </w:p>
    <w:bookmarkEnd w:id="0"/>
    <w:bookmarkEnd w:id="1"/>
    <w:bookmarkEnd w:id="2"/>
    <w:bookmarkEnd w:id="3"/>
    <w:p>
      <w:pPr>
        <w:pStyle w:val="11"/>
        <w:spacing w:line="420" w:lineRule="exact"/>
        <w:ind w:firstLine="420"/>
        <w:rPr>
          <w:rFonts w:hint="eastAsia" w:hAnsi="宋体" w:cs="宋体"/>
          <w:kern w:val="0"/>
          <w:szCs w:val="21"/>
        </w:rPr>
      </w:pPr>
      <w:r>
        <w:rPr>
          <w:rFonts w:hint="eastAsia" w:hAnsi="宋体" w:cs="宋体"/>
          <w:kern w:val="0"/>
          <w:szCs w:val="21"/>
        </w:rPr>
        <w:t>3、物业服务机构须参照国家建设部制定的《全国物业管理示范大厦标准及评分细则》、物业行业服务标准及本“规范及要求”提供服务，提供的物业服务达到物业管理优秀大厦的管理水平。</w:t>
      </w:r>
    </w:p>
    <w:p>
      <w:pPr>
        <w:pStyle w:val="13"/>
        <w:spacing w:before="331" w:after="331" w:line="420" w:lineRule="exact"/>
        <w:ind w:firstLine="422" w:firstLineChars="200"/>
        <w:rPr>
          <w:rFonts w:hint="eastAsia" w:ascii="宋体" w:hAnsi="宋体" w:eastAsia="宋体" w:cs="宋体"/>
          <w:b/>
          <w:szCs w:val="21"/>
        </w:rPr>
      </w:pPr>
      <w:r>
        <w:rPr>
          <w:rFonts w:hint="eastAsia" w:ascii="宋体" w:hAnsi="宋体" w:eastAsia="宋体" w:cs="宋体"/>
          <w:b/>
          <w:szCs w:val="21"/>
        </w:rPr>
        <w:t>（二）物业服务基本内容及要求</w:t>
      </w:r>
    </w:p>
    <w:p>
      <w:pPr>
        <w:pStyle w:val="14"/>
        <w:spacing w:before="165" w:after="165" w:line="420" w:lineRule="exact"/>
        <w:ind w:left="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3、公共秩序维护内容及要求</w:t>
      </w: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9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</w:t>
            </w:r>
          </w:p>
        </w:tc>
        <w:tc>
          <w:tcPr>
            <w:tcW w:w="790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内容及要求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门岗管理</w:t>
            </w:r>
          </w:p>
        </w:tc>
        <w:tc>
          <w:tcPr>
            <w:tcW w:w="790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line="440" w:lineRule="exact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出入口24小时值守，对外来人员进行验证、登记，确保秩序井然有序。</w:t>
            </w:r>
          </w:p>
          <w:p>
            <w:pPr>
              <w:numPr>
                <w:ilvl w:val="0"/>
                <w:numId w:val="2"/>
              </w:numPr>
              <w:spacing w:line="440" w:lineRule="exact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有效疏导进出车辆，保持出入畅通，大宗物品进出应进行审验，严防危险物品进入。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车辆秩序管理</w:t>
            </w:r>
          </w:p>
        </w:tc>
        <w:tc>
          <w:tcPr>
            <w:tcW w:w="790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numPr>
                <w:ilvl w:val="0"/>
                <w:numId w:val="3"/>
              </w:numPr>
              <w:spacing w:line="440" w:lineRule="exact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设置行车指示标识，规定行驶路线，指定机动车、非机动车停放区域，保证车辆有序通行。</w:t>
            </w:r>
          </w:p>
          <w:p>
            <w:pPr>
              <w:numPr>
                <w:ilvl w:val="0"/>
                <w:numId w:val="3"/>
              </w:numPr>
              <w:spacing w:line="440" w:lineRule="exact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车库应专人管理，监控、照明、消防器械配置齐全，定时清洁，无易燃易爆等危险物品存放。</w:t>
            </w:r>
          </w:p>
          <w:p>
            <w:pPr>
              <w:numPr>
                <w:ilvl w:val="0"/>
                <w:numId w:val="3"/>
              </w:numPr>
              <w:spacing w:line="440" w:lineRule="exact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每周至少检查1次停车场有无外来车辆超时（指停放24小时以上）占用公共停车位，定期检查和清理僵尸车辆。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监控值守管理</w:t>
            </w:r>
          </w:p>
        </w:tc>
        <w:tc>
          <w:tcPr>
            <w:tcW w:w="7902" w:type="dxa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1.监控设施应24小时正常运行，保证对安全出入口、内部重点区域的安全监控，监控资料至少保持3个月（硬件设备存储不足3个月的，按该设备可保存数据上限）完整记录。</w:t>
            </w:r>
          </w:p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2.严格执行消防控制室管理有关规定，安排合理数量的符合从业资格条件人员管理、值班。</w:t>
            </w:r>
          </w:p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3.监控中心收到火情、险情等报警信号及其他异常情况信号后，立即安排安保人员到场处理并报警，同时根据现场情况按预案对人员进行疏散。</w:t>
            </w:r>
          </w:p>
          <w:p>
            <w:pPr>
              <w:spacing w:line="44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4.保持值守通讯畅通，收到中央监控室指令后，巡查人员及时到达并采取相应措施。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安全管理</w:t>
            </w:r>
          </w:p>
        </w:tc>
        <w:tc>
          <w:tcPr>
            <w:tcW w:w="7902" w:type="dxa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numPr>
                <w:ilvl w:val="0"/>
                <w:numId w:val="4"/>
              </w:numPr>
              <w:spacing w:line="440" w:lineRule="exact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对火灾、治安、公共卫生等突发事件有应急预案；</w:t>
            </w:r>
          </w:p>
          <w:p>
            <w:pPr>
              <w:numPr>
                <w:ilvl w:val="0"/>
                <w:numId w:val="4"/>
              </w:numPr>
              <w:spacing w:line="440" w:lineRule="exact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定办公区物业管理服务突发公共事件应急预案，每年应组织不少于1次的突发公共事件应急演练；当发生自然灾害、事故灾难、公共卫生事件或社会安全事件时，启动应急预案，全力配合有关部门单位采取相应措施，保障人身安全，减少财产损失。</w:t>
            </w:r>
          </w:p>
          <w:p>
            <w:pPr>
              <w:numPr>
                <w:ilvl w:val="0"/>
                <w:numId w:val="4"/>
              </w:numPr>
              <w:spacing w:line="440" w:lineRule="exact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公共区域和办公区有巡逻人员定时巡逻，合理安排巡查路线，排除不安全因素，防止被盗事件的发生，发现违规行为及时制止，发现异常情况立即通知相关部门并现场采取必要措施。</w:t>
            </w:r>
          </w:p>
          <w:p>
            <w:pPr>
              <w:numPr>
                <w:ilvl w:val="0"/>
                <w:numId w:val="4"/>
              </w:numPr>
              <w:spacing w:line="440" w:lineRule="exact"/>
              <w:ind w:left="357" w:hanging="357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根据项目情况做好南宁市开展的创全国“文明城市”、“卫生城市”、流行病毒疫情防控等迎检工作，并按要求配置相应设施设备（包括但不限于清洁用具、体温检测仪及其他疫情防控物资等）。</w:t>
            </w:r>
          </w:p>
        </w:tc>
      </w:tr>
    </w:tbl>
    <w:p>
      <w:pPr>
        <w:pStyle w:val="11"/>
        <w:spacing w:line="420" w:lineRule="exact"/>
        <w:ind w:firstLine="422"/>
        <w:rPr>
          <w:rFonts w:hint="eastAsia" w:hAnsi="宋体" w:cs="宋体"/>
          <w:b/>
          <w:szCs w:val="21"/>
        </w:rPr>
      </w:pPr>
      <w:r>
        <w:rPr>
          <w:rFonts w:hint="eastAsia" w:hAnsi="宋体" w:cs="宋体"/>
          <w:b/>
          <w:szCs w:val="21"/>
        </w:rPr>
        <w:t>6、其他要求</w:t>
      </w:r>
    </w:p>
    <w:p>
      <w:pPr>
        <w:pStyle w:val="12"/>
        <w:spacing w:line="420" w:lineRule="exact"/>
        <w:ind w:left="0"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（1）节能管理要求</w:t>
      </w:r>
    </w:p>
    <w:p>
      <w:pPr>
        <w:pStyle w:val="12"/>
        <w:spacing w:line="420" w:lineRule="exact"/>
        <w:ind w:left="0"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物业服务机构应按照公共机构和商业节能管理规定，结合业主和物业使用单位节能指标，实施研发大厦项目物业管理服务节能管理。</w:t>
      </w:r>
    </w:p>
    <w:p>
      <w:pPr>
        <w:pStyle w:val="12"/>
        <w:spacing w:line="420" w:lineRule="exact"/>
        <w:ind w:left="0"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（2）保密要求</w:t>
      </w:r>
    </w:p>
    <w:p>
      <w:pPr>
        <w:pStyle w:val="12"/>
        <w:spacing w:line="420" w:lineRule="exact"/>
        <w:ind w:left="0"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若入驻办公单位有保密需要，物业服务机构应与该入驻单位另行签订三方（即该入驻单位、物业服务机构、物业服务人员）保密协议，防止泄密事件的发生。</w:t>
      </w:r>
    </w:p>
    <w:p>
      <w:pPr>
        <w:pStyle w:val="12"/>
        <w:spacing w:line="420" w:lineRule="exact"/>
        <w:ind w:left="0"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（3）快速响应要求</w:t>
      </w:r>
    </w:p>
    <w:p>
      <w:pPr>
        <w:pStyle w:val="12"/>
        <w:spacing w:line="420" w:lineRule="exact"/>
        <w:ind w:left="0"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物业服务机构应建立快速响应机制，明确责任人，对外公布监督、投诉电话。对入驻单位提出的意见、建议或临时出现的紧急事项，一般要求30分钟内到达现场协调处理。受理、处理各入驻单位的投诉应保持记录，认真处理，将处理结果及时通知投诉者，并进行回访，回访比例应达到100%。对零星维修事项，更换配件要求1日内更换完毕，特殊配件需对外采购的要求3日内完成维修。</w:t>
      </w:r>
    </w:p>
    <w:p>
      <w:pPr>
        <w:pStyle w:val="12"/>
        <w:spacing w:line="420" w:lineRule="exact"/>
        <w:ind w:left="0"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（4）告知义务</w:t>
      </w:r>
    </w:p>
    <w:p>
      <w:pPr>
        <w:pStyle w:val="12"/>
        <w:spacing w:line="420" w:lineRule="exact"/>
        <w:ind w:left="0"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涉及研发大厦项目入驻单位正常办公秩序的其他重要物业服务事项、相关职能部门到访检查的（包括但不限于</w:t>
      </w:r>
      <w:r>
        <w:rPr>
          <w:rFonts w:hint="eastAsia" w:hAnsi="宋体" w:cs="宋体"/>
          <w:lang w:eastAsia="zh-CN"/>
        </w:rPr>
        <w:t>项目</w:t>
      </w:r>
      <w:r>
        <w:rPr>
          <w:rFonts w:hint="eastAsia" w:hAnsi="宋体" w:cs="宋体"/>
        </w:rPr>
        <w:t>治安等），物业服务机构应第一时间履行告知义务。</w:t>
      </w:r>
    </w:p>
    <w:p>
      <w:pPr>
        <w:pStyle w:val="12"/>
        <w:spacing w:line="420" w:lineRule="exact"/>
        <w:ind w:left="0"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（5）工作协助</w:t>
      </w:r>
    </w:p>
    <w:p>
      <w:pPr>
        <w:pStyle w:val="12"/>
        <w:spacing w:line="420" w:lineRule="exact"/>
        <w:ind w:left="0" w:firstLine="555"/>
        <w:rPr>
          <w:rFonts w:hint="eastAsia" w:hAnsi="宋体" w:cs="宋体"/>
        </w:rPr>
      </w:pPr>
      <w:r>
        <w:rPr>
          <w:rFonts w:hint="eastAsia" w:hAnsi="宋体" w:cs="宋体"/>
        </w:rPr>
        <w:t>接受入驻办公单位临时合理的工作协助请求，如在服务区域内协助搬运文件、办公物品或贴挂宣传品等无服务耗材的临时工作。</w:t>
      </w:r>
    </w:p>
    <w:p>
      <w:pPr>
        <w:pStyle w:val="12"/>
        <w:numPr>
          <w:ilvl w:val="0"/>
          <w:numId w:val="5"/>
        </w:numPr>
        <w:spacing w:line="420" w:lineRule="exact"/>
        <w:ind w:left="0"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物业服务机构应根据项目情况做好南宁市开展的创全国“文明城市”、“卫生城市”、流行病毒疫情防控等工作，并按要求配置相应设施设备。</w:t>
      </w:r>
    </w:p>
    <w:p>
      <w:pPr>
        <w:pStyle w:val="12"/>
        <w:numPr>
          <w:ilvl w:val="0"/>
          <w:numId w:val="5"/>
        </w:numPr>
        <w:spacing w:line="420" w:lineRule="exact"/>
        <w:ind w:left="0"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采购方有权要求物业服务机构提供本项目物业服务的月度管理计划、合同期内费用概预算、决算报告。</w:t>
      </w:r>
    </w:p>
    <w:p>
      <w:pPr>
        <w:pStyle w:val="12"/>
        <w:spacing w:line="420" w:lineRule="exact"/>
        <w:ind w:left="0" w:firstLine="420" w:firstLineChars="200"/>
        <w:rPr>
          <w:rFonts w:hint="eastAsia" w:hAnsi="宋体" w:cs="宋体"/>
        </w:rPr>
      </w:pPr>
      <w:r>
        <w:rPr>
          <w:rFonts w:hint="eastAsia" w:hAnsi="宋体" w:cs="宋体"/>
        </w:rPr>
        <w:t>（8）物业服务机构应在每季度过后5个工作日内向采购方书面汇报上一季度的服务情况。</w:t>
      </w:r>
    </w:p>
    <w:p>
      <w:pPr>
        <w:spacing w:line="420" w:lineRule="exact"/>
        <w:ind w:firstLine="422" w:firstLineChars="200"/>
        <w:rPr>
          <w:rFonts w:hint="eastAsia"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三、物业服务机构及人员要求：</w:t>
      </w:r>
    </w:p>
    <w:p>
      <w:pPr>
        <w:pStyle w:val="15"/>
        <w:spacing w:line="420" w:lineRule="exact"/>
        <w:rPr>
          <w:rFonts w:hint="eastAsia" w:hAnsi="宋体" w:cs="宋体"/>
          <w:b/>
          <w:szCs w:val="21"/>
        </w:rPr>
      </w:pPr>
      <w:r>
        <w:rPr>
          <w:rFonts w:hint="eastAsia" w:hAnsi="宋体" w:cs="宋体"/>
          <w:b/>
          <w:szCs w:val="21"/>
        </w:rPr>
        <w:t>（一）物业服务机构基本要求</w:t>
      </w:r>
    </w:p>
    <w:p>
      <w:pPr>
        <w:pStyle w:val="15"/>
        <w:spacing w:line="420" w:lineRule="exact"/>
        <w:ind w:left="761" w:leftChars="264" w:hanging="207" w:hangingChars="99"/>
        <w:rPr>
          <w:rFonts w:hint="eastAsia" w:hAnsi="宋体" w:cs="宋体"/>
          <w:szCs w:val="21"/>
        </w:rPr>
      </w:pPr>
      <w:r>
        <w:rPr>
          <w:rFonts w:hint="eastAsia" w:hAnsi="宋体" w:cs="宋体"/>
          <w:szCs w:val="21"/>
        </w:rPr>
        <w:t>1、具有独立的法人资格；足额配备物业管理、安保、保洁、机电维修人员和设施设备；</w:t>
      </w:r>
    </w:p>
    <w:p>
      <w:pPr>
        <w:pStyle w:val="15"/>
        <w:spacing w:line="420" w:lineRule="exact"/>
        <w:ind w:left="761" w:leftChars="264" w:hanging="207" w:hangingChars="99"/>
        <w:rPr>
          <w:rFonts w:hint="eastAsia" w:hAnsi="宋体" w:cs="宋体"/>
          <w:szCs w:val="21"/>
        </w:rPr>
      </w:pPr>
      <w:r>
        <w:rPr>
          <w:rFonts w:hint="eastAsia" w:hAnsi="宋体" w:cs="宋体"/>
          <w:szCs w:val="21"/>
        </w:rPr>
        <w:t>2、建立完善的规章制度，包括物业服务方案、岗位职责、工作流程及服务规范、内控管理制度等；</w:t>
      </w:r>
    </w:p>
    <w:p>
      <w:pPr>
        <w:pStyle w:val="15"/>
        <w:spacing w:line="420" w:lineRule="exact"/>
        <w:ind w:left="0" w:firstLine="554" w:firstLineChars="264"/>
        <w:rPr>
          <w:rFonts w:hint="eastAsia" w:hAnsi="宋体" w:cs="宋体"/>
          <w:szCs w:val="21"/>
        </w:rPr>
      </w:pPr>
      <w:r>
        <w:rPr>
          <w:rFonts w:hint="eastAsia" w:hAnsi="宋体" w:cs="宋体"/>
          <w:szCs w:val="21"/>
        </w:rPr>
        <w:t>3、遵守财经法规和合同约定，定期（每年至少一次）进行设施设备盘点并建立账册台账；4、建立档案管理，档案资料齐全完整、检索便捷，并及时移交业主备份。</w:t>
      </w:r>
    </w:p>
    <w:p>
      <w:pPr>
        <w:pStyle w:val="15"/>
        <w:spacing w:line="420" w:lineRule="exact"/>
        <w:rPr>
          <w:rFonts w:hint="eastAsia" w:hAnsi="宋体" w:cs="宋体"/>
          <w:b/>
          <w:szCs w:val="21"/>
        </w:rPr>
      </w:pPr>
      <w:r>
        <w:rPr>
          <w:rFonts w:hint="eastAsia" w:hAnsi="宋体" w:cs="宋体"/>
          <w:b/>
          <w:szCs w:val="21"/>
        </w:rPr>
        <w:t>（二）物业服务人员基本要求</w:t>
      </w:r>
    </w:p>
    <w:p>
      <w:pPr>
        <w:pStyle w:val="15"/>
        <w:spacing w:line="420" w:lineRule="exact"/>
        <w:rPr>
          <w:rFonts w:hint="eastAsia" w:hAnsi="宋体" w:cs="宋体"/>
          <w:szCs w:val="21"/>
        </w:rPr>
      </w:pPr>
      <w:r>
        <w:rPr>
          <w:rFonts w:hint="eastAsia" w:hAnsi="宋体" w:cs="宋体"/>
          <w:szCs w:val="21"/>
        </w:rPr>
        <w:t>1、无违法犯罪记录，具备相应资质和物业管理服务知识，能正确使用相关专用设备；</w:t>
      </w:r>
    </w:p>
    <w:p>
      <w:pPr>
        <w:pStyle w:val="15"/>
        <w:spacing w:line="420" w:lineRule="exact"/>
        <w:ind w:left="0" w:firstLine="420" w:firstLineChars="200"/>
        <w:rPr>
          <w:rFonts w:hint="eastAsia" w:hAnsi="宋体" w:cs="宋体"/>
          <w:szCs w:val="21"/>
        </w:rPr>
      </w:pPr>
      <w:r>
        <w:rPr>
          <w:rFonts w:hint="eastAsia" w:hAnsi="宋体" w:cs="宋体"/>
          <w:szCs w:val="21"/>
        </w:rPr>
        <w:t>2、统一着装，佩戴标志，规范服务，语言文明，仪容仪表整洁，服务主动热情，使用普通话。</w:t>
      </w:r>
    </w:p>
    <w:p>
      <w:pPr>
        <w:pStyle w:val="15"/>
        <w:spacing w:line="420" w:lineRule="exact"/>
        <w:ind w:left="0" w:firstLine="420" w:firstLineChars="200"/>
        <w:rPr>
          <w:rFonts w:hint="eastAsia" w:hAnsi="宋体" w:cs="宋体"/>
          <w:szCs w:val="21"/>
        </w:rPr>
      </w:pPr>
      <w:r>
        <w:rPr>
          <w:rFonts w:hint="eastAsia" w:hAnsi="宋体" w:cs="宋体"/>
          <w:szCs w:val="21"/>
        </w:rPr>
        <w:t>3、要保持员工队伍特别是主要岗位（如管理、技术人员）的稳定，未经培训考核合格的员工不得上岗。持证岗位的必须持有效证件上岗。</w:t>
      </w:r>
    </w:p>
    <w:p>
      <w:pPr>
        <w:pStyle w:val="15"/>
        <w:spacing w:line="420" w:lineRule="exac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hAnsi="宋体" w:cs="宋体"/>
          <w:b/>
          <w:szCs w:val="21"/>
        </w:rPr>
        <w:t>（三）机构设置及人员配置要求</w:t>
      </w:r>
    </w:p>
    <w:p>
      <w:pPr>
        <w:pStyle w:val="2"/>
        <w:ind w:firstLine="210" w:firstLineChars="1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bookmarkStart w:id="4" w:name="_GoBack"/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秩序部：不少于129人(其中东广场7人)。其中巡逻岗位、地库、外围人员不少于69人；固定岗位（各单位内部、总监控室、东广场）人员不少于60人，各部位固定岗位安排如下：</w:t>
      </w:r>
    </w:p>
    <w:p>
      <w:pPr>
        <w:pStyle w:val="2"/>
        <w:ind w:firstLine="210" w:firstLineChars="1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①市行政审批局：14人。其中二层安检门岗12人，两个侧门岗2人。</w:t>
      </w:r>
    </w:p>
    <w:p>
      <w:pPr>
        <w:pStyle w:val="2"/>
        <w:ind w:firstLine="210" w:firstLineChars="1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②市公共资源交易中心：31人。其中，服务大厅1人；九层开标厅、公共服务区6人；十层1号出入口4人，2号出入口4人；十一层电梯出入口3人；安防监控室7人（24小时值班，每班2人），专家过夜休息区6人（24小时值班，每班2人）。</w:t>
      </w:r>
    </w:p>
    <w:p>
      <w:pPr>
        <w:pStyle w:val="2"/>
        <w:ind w:firstLine="210" w:firstLineChars="1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③市公安局出入境管理局：6人。其中二、三、四层公共服务大厅，每层2人。</w:t>
      </w:r>
    </w:p>
    <w:p>
      <w:pPr>
        <w:pStyle w:val="2"/>
        <w:ind w:firstLine="210" w:firstLineChars="100"/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④总监控室：7人。</w:t>
      </w:r>
    </w:p>
    <w:p>
      <w:pPr>
        <w:pStyle w:val="2"/>
        <w:ind w:firstLine="210" w:firstLineChars="100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 w:bidi="ar-SA"/>
        </w:rPr>
        <w:t>⑤东广场：2人。</w:t>
      </w:r>
      <w:bookmarkEnd w:id="4"/>
    </w:p>
    <w:p>
      <w:pPr>
        <w:spacing w:line="420" w:lineRule="exact"/>
        <w:ind w:firstLine="422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（四）物业服务机构应配备的工具、耗材</w:t>
      </w:r>
    </w:p>
    <w:p>
      <w:pPr>
        <w:spacing w:line="420" w:lineRule="exac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bCs/>
          <w:szCs w:val="21"/>
          <w:lang w:val="en-US" w:eastAsia="zh-CN"/>
        </w:rPr>
        <w:t>1</w:t>
      </w:r>
      <w:r>
        <w:rPr>
          <w:rFonts w:hint="eastAsia" w:ascii="宋体" w:hAnsi="宋体" w:cs="宋体"/>
          <w:bCs/>
          <w:szCs w:val="21"/>
        </w:rPr>
        <w:t>、自行配备日常自用工具（用品）等耗材，包括但不限于：对讲机（必须保证在安保责任区域范围内的通话畅通）、电筒、个人安防用具、应急机动车辆、工程部人员工作工具等；</w:t>
      </w:r>
    </w:p>
    <w:p>
      <w:pPr>
        <w:spacing w:line="420" w:lineRule="exact"/>
        <w:ind w:firstLine="422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（五）安全生产及消防安全管理</w:t>
      </w:r>
    </w:p>
    <w:p>
      <w:pPr>
        <w:spacing w:line="420" w:lineRule="exact"/>
        <w:ind w:firstLine="424" w:firstLineChars="202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Cs/>
          <w:szCs w:val="21"/>
        </w:rPr>
        <w:t>1、</w:t>
      </w:r>
      <w:r>
        <w:rPr>
          <w:rFonts w:hint="eastAsia" w:ascii="宋体" w:hAnsi="宋体" w:cs="宋体"/>
          <w:szCs w:val="21"/>
        </w:rPr>
        <w:t>物业服务机构须建立安全生产和消防安全管理组织机构，负责研发大厦项目物业安全生产和消防安全管理，建立建全有关安全生产、消防安全管理制度，明确各岗位安全工作职责。建立应急管理制度和应急工作方案，并按法规要求定期演练。</w:t>
      </w:r>
    </w:p>
    <w:p>
      <w:pPr>
        <w:spacing w:line="420" w:lineRule="exact"/>
        <w:ind w:firstLine="424" w:firstLineChars="202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2、按有关法规、制度要求定期或不定期开展安全生产、消防安全、防汛和道路交通等检查，排查、整治各种隐患，并建立工作台账以备检查。</w:t>
      </w:r>
    </w:p>
    <w:p>
      <w:pPr>
        <w:spacing w:line="420" w:lineRule="exact"/>
        <w:ind w:firstLine="424" w:firstLineChars="202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szCs w:val="21"/>
        </w:rPr>
        <w:t>3、开展安全教育宣传，督促、配合各入驻单位按法规要求开展安全管理工作。</w:t>
      </w:r>
    </w:p>
    <w:p>
      <w:pPr>
        <w:spacing w:line="420" w:lineRule="exact"/>
        <w:ind w:firstLine="422" w:firstLineChars="200"/>
        <w:rPr>
          <w:rFonts w:hint="eastAsia"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（六）工作便利</w:t>
      </w:r>
    </w:p>
    <w:p>
      <w:pPr>
        <w:spacing w:line="420" w:lineRule="exact"/>
        <w:ind w:firstLine="420" w:firstLineChars="200"/>
        <w:rPr>
          <w:rFonts w:hint="eastAsia" w:ascii="宋体" w:hAnsi="宋体" w:cs="宋体"/>
          <w:bCs/>
          <w:szCs w:val="21"/>
        </w:rPr>
      </w:pPr>
      <w:r>
        <w:rPr>
          <w:rFonts w:hint="eastAsia" w:ascii="宋体" w:hAnsi="宋体" w:cs="宋体"/>
          <w:szCs w:val="21"/>
        </w:rPr>
        <w:t>研发大厦项目</w:t>
      </w:r>
      <w:r>
        <w:rPr>
          <w:rFonts w:hint="eastAsia" w:ascii="宋体" w:hAnsi="宋体" w:cs="宋体"/>
          <w:bCs/>
          <w:szCs w:val="21"/>
        </w:rPr>
        <w:t>向物业服务机构免费提供物业服务配套办公、工作用房，面积约为364平方米（具体位置另行指定）。物业服务机构因办公发生的办公费用、水电能源消耗等费用由物业服务机构自行负责。</w:t>
      </w:r>
    </w:p>
    <w:p>
      <w:pPr>
        <w:rPr>
          <w:rFonts w:hint="eastAsia" w:ascii="宋体" w:hAnsi="宋体"/>
          <w:color w:val="000000"/>
          <w:spacing w:val="1"/>
          <w:sz w:val="24"/>
          <w:lang w:eastAsia="zh-CN"/>
        </w:rPr>
      </w:pPr>
    </w:p>
    <w:p>
      <w:pPr>
        <w:ind w:firstLine="444" w:firstLineChars="200"/>
      </w:pPr>
      <w:r>
        <w:rPr>
          <w:rFonts w:hint="eastAsia" w:ascii="宋体" w:hAnsi="宋体"/>
          <w:color w:val="000000"/>
          <w:spacing w:val="1"/>
          <w:sz w:val="22"/>
          <w:szCs w:val="22"/>
          <w:lang w:eastAsia="zh-CN"/>
        </w:rPr>
        <w:t>五、</w:t>
      </w:r>
      <w:r>
        <w:rPr>
          <w:rFonts w:hint="eastAsia" w:ascii="宋体" w:hAnsi="宋体"/>
          <w:color w:val="000000"/>
          <w:spacing w:val="1"/>
          <w:sz w:val="22"/>
          <w:szCs w:val="22"/>
        </w:rPr>
        <w:t>服务时间</w:t>
      </w:r>
      <w:r>
        <w:rPr>
          <w:rFonts w:hint="eastAsia" w:ascii="宋体" w:hAnsi="宋体"/>
          <w:color w:val="000000"/>
          <w:spacing w:val="1"/>
          <w:sz w:val="24"/>
        </w:rPr>
        <w:t>：</w:t>
      </w:r>
      <w:r>
        <w:rPr>
          <w:rFonts w:hint="eastAsia" w:ascii="宋体" w:hAnsi="宋体"/>
          <w:szCs w:val="21"/>
        </w:rPr>
        <w:t>2022年6月1日起至2022年</w:t>
      </w:r>
      <w:r>
        <w:rPr>
          <w:rFonts w:hint="eastAsia" w:ascii="宋体" w:hAnsi="宋体"/>
          <w:szCs w:val="21"/>
          <w:lang w:val="en-US" w:eastAsia="zh-CN"/>
        </w:rPr>
        <w:t>6</w:t>
      </w:r>
      <w:r>
        <w:rPr>
          <w:rFonts w:hint="eastAsia" w:ascii="宋体" w:hAnsi="宋体"/>
          <w:szCs w:val="21"/>
        </w:rPr>
        <w:t>月3</w:t>
      </w:r>
      <w:r>
        <w:rPr>
          <w:rFonts w:hint="eastAsia" w:ascii="宋体" w:hAnsi="宋体"/>
          <w:szCs w:val="21"/>
          <w:lang w:val="en-US" w:eastAsia="zh-CN"/>
        </w:rPr>
        <w:t>0</w:t>
      </w:r>
      <w:r>
        <w:rPr>
          <w:rFonts w:hint="eastAsia" w:ascii="宋体" w:hAnsi="宋体"/>
          <w:szCs w:val="21"/>
        </w:rPr>
        <w:t>日止。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B2C59F"/>
    <w:multiLevelType w:val="singleLevel"/>
    <w:tmpl w:val="BEB2C59F"/>
    <w:lvl w:ilvl="0" w:tentative="0">
      <w:start w:val="6"/>
      <w:numFmt w:val="decimal"/>
      <w:suff w:val="nothing"/>
      <w:lvlText w:val="（%1）"/>
      <w:lvlJc w:val="left"/>
    </w:lvl>
  </w:abstractNum>
  <w:abstractNum w:abstractNumId="1">
    <w:nsid w:val="2140601E"/>
    <w:multiLevelType w:val="singleLevel"/>
    <w:tmpl w:val="2140601E"/>
    <w:lvl w:ilvl="0" w:tentative="0">
      <w:start w:val="1"/>
      <w:numFmt w:val="decimal"/>
      <w:pStyle w:val="3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4EB36CCC"/>
    <w:multiLevelType w:val="multilevel"/>
    <w:tmpl w:val="4EB36C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4E67A8"/>
    <w:multiLevelType w:val="multilevel"/>
    <w:tmpl w:val="514E67A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6D5DA1"/>
    <w:multiLevelType w:val="multilevel"/>
    <w:tmpl w:val="7B6D5DA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2NmZhZTNkNGNhMmY5OTJiMThjOGVmODJkNzI4NmUifQ=="/>
  </w:docVars>
  <w:rsids>
    <w:rsidRoot w:val="251F0E7B"/>
    <w:rsid w:val="15CD05C6"/>
    <w:rsid w:val="200E6B61"/>
    <w:rsid w:val="251F0E7B"/>
    <w:rsid w:val="285F5326"/>
    <w:rsid w:val="2C38367D"/>
    <w:rsid w:val="2DC75D37"/>
    <w:rsid w:val="2EF0693C"/>
    <w:rsid w:val="317D7843"/>
    <w:rsid w:val="3EFB1E41"/>
    <w:rsid w:val="430B1602"/>
    <w:rsid w:val="446A7870"/>
    <w:rsid w:val="49F0314C"/>
    <w:rsid w:val="4BE92D80"/>
    <w:rsid w:val="4D3D6067"/>
    <w:rsid w:val="505232E1"/>
    <w:rsid w:val="6A127171"/>
    <w:rsid w:val="7624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宋体"/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center"/>
      <w:outlineLvl w:val="2"/>
    </w:pPr>
    <w:rPr>
      <w:rFonts w:eastAsia="宋体"/>
      <w:b/>
      <w:sz w:val="32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numPr>
        <w:ilvl w:val="0"/>
        <w:numId w:val="1"/>
      </w:numPr>
      <w:spacing w:before="280" w:beforeLines="0" w:beforeAutospacing="0" w:after="290" w:afterLines="0" w:afterAutospacing="0" w:line="372" w:lineRule="auto"/>
      <w:jc w:val="center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3"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7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8">
    <w:name w:val="Body Text First Indent 2"/>
    <w:basedOn w:val="7"/>
    <w:qFormat/>
    <w:uiPriority w:val="0"/>
    <w:pPr>
      <w:ind w:firstLine="420" w:firstLineChars="200"/>
    </w:pPr>
  </w:style>
  <w:style w:type="paragraph" w:customStyle="1" w:styleId="11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二级无"/>
    <w:basedOn w:val="1"/>
    <w:qFormat/>
    <w:uiPriority w:val="0"/>
    <w:pPr>
      <w:widowControl/>
      <w:ind w:left="568"/>
      <w:jc w:val="left"/>
      <w:outlineLvl w:val="3"/>
    </w:pPr>
    <w:rPr>
      <w:rFonts w:ascii="宋体"/>
      <w:kern w:val="0"/>
      <w:szCs w:val="21"/>
    </w:rPr>
  </w:style>
  <w:style w:type="paragraph" w:customStyle="1" w:styleId="13">
    <w:name w:val="章标题"/>
    <w:next w:val="11"/>
    <w:qFormat/>
    <w:uiPriority w:val="0"/>
    <w:pPr>
      <w:spacing w:beforeLines="100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4">
    <w:name w:val="一级条标题"/>
    <w:next w:val="11"/>
    <w:qFormat/>
    <w:uiPriority w:val="0"/>
    <w:pPr>
      <w:spacing w:beforeLines="50" w:afterLines="50"/>
      <w:ind w:left="4395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字母编号列项（一级）"/>
    <w:qFormat/>
    <w:uiPriority w:val="0"/>
    <w:pPr>
      <w:tabs>
        <w:tab w:val="left" w:pos="840"/>
      </w:tabs>
      <w:ind w:left="839" w:hanging="419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2784</Words>
  <Characters>2872</Characters>
  <Lines>0</Lines>
  <Paragraphs>0</Paragraphs>
  <TotalTime>10</TotalTime>
  <ScaleCrop>false</ScaleCrop>
  <LinksUpToDate>false</LinksUpToDate>
  <CharactersWithSpaces>2872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2022-05-19T09:58:00Z</dcterms:created>
  <dc:creator>Bileygr</dc:creator>
  <cp:lastModifiedBy>Bileygr</cp:lastModifiedBy>
  <dcterms:modified xsi:type="dcterms:W3CDTF">2022-05-19T11:43:30Z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FF27A596BC5B44549805F1B0B3F8539B</vt:lpwstr>
  </property>
</Properties>
</file>